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C2" w:rsidRPr="007330A1" w:rsidRDefault="005645C2" w:rsidP="005645C2">
      <w:pPr>
        <w:shd w:val="clear" w:color="auto" w:fill="FFFFFF"/>
        <w:spacing w:after="0" w:line="319" w:lineRule="atLeast"/>
        <w:jc w:val="both"/>
        <w:rPr>
          <w:rFonts w:ascii="Calibri" w:eastAsia="Times New Roman" w:hAnsi="Calibri" w:cs="Calibri"/>
          <w:b/>
          <w:bCs/>
          <w:color w:val="444444"/>
          <w:sz w:val="32"/>
          <w:szCs w:val="32"/>
          <w:u w:val="single"/>
          <w:lang w:eastAsia="es-MX"/>
        </w:rPr>
      </w:pPr>
      <w:bookmarkStart w:id="0" w:name="_GoBack"/>
      <w:r w:rsidRPr="007330A1">
        <w:rPr>
          <w:rFonts w:ascii="Calibri" w:eastAsia="Times New Roman" w:hAnsi="Calibri" w:cs="Calibri"/>
          <w:b/>
          <w:bCs/>
          <w:color w:val="444444"/>
          <w:sz w:val="32"/>
          <w:szCs w:val="32"/>
          <w:u w:val="single"/>
          <w:lang w:eastAsia="es-MX"/>
        </w:rPr>
        <w:t xml:space="preserve">Circular </w:t>
      </w:r>
      <w:r>
        <w:rPr>
          <w:rFonts w:ascii="Calibri" w:eastAsia="Times New Roman" w:hAnsi="Calibri" w:cs="Calibri"/>
          <w:b/>
          <w:bCs/>
          <w:color w:val="444444"/>
          <w:sz w:val="32"/>
          <w:szCs w:val="32"/>
          <w:u w:val="single"/>
          <w:lang w:eastAsia="es-MX"/>
        </w:rPr>
        <w:t>5</w:t>
      </w:r>
      <w:r w:rsidR="004E0782">
        <w:rPr>
          <w:rFonts w:ascii="Calibri" w:eastAsia="Times New Roman" w:hAnsi="Calibri" w:cs="Calibri"/>
          <w:b/>
          <w:bCs/>
          <w:color w:val="444444"/>
          <w:sz w:val="32"/>
          <w:szCs w:val="32"/>
          <w:u w:val="single"/>
          <w:lang w:eastAsia="es-MX"/>
        </w:rPr>
        <w:t>/2014 Análisis Financiero y Presupuestal</w:t>
      </w:r>
      <w:r w:rsidRPr="007330A1">
        <w:rPr>
          <w:rFonts w:ascii="Calibri" w:eastAsia="Times New Roman" w:hAnsi="Calibri" w:cs="Calibri"/>
          <w:b/>
          <w:bCs/>
          <w:color w:val="444444"/>
          <w:sz w:val="32"/>
          <w:szCs w:val="32"/>
          <w:u w:val="single"/>
          <w:lang w:eastAsia="es-MX"/>
        </w:rPr>
        <w:t xml:space="preserve">. </w:t>
      </w:r>
      <w:r>
        <w:rPr>
          <w:rFonts w:ascii="Calibri" w:eastAsia="Times New Roman" w:hAnsi="Calibri" w:cs="Calibri"/>
          <w:b/>
          <w:bCs/>
          <w:color w:val="444444"/>
          <w:sz w:val="32"/>
          <w:szCs w:val="32"/>
          <w:u w:val="single"/>
          <w:lang w:eastAsia="es-MX"/>
        </w:rPr>
        <w:t>DIF Municipal</w:t>
      </w:r>
      <w:r w:rsidRPr="007330A1">
        <w:rPr>
          <w:rFonts w:ascii="Calibri" w:eastAsia="Times New Roman" w:hAnsi="Calibri" w:cs="Calibri"/>
          <w:b/>
          <w:bCs/>
          <w:color w:val="444444"/>
          <w:sz w:val="32"/>
          <w:szCs w:val="32"/>
          <w:u w:val="single"/>
          <w:lang w:eastAsia="es-MX"/>
        </w:rPr>
        <w:t>‏</w:t>
      </w:r>
    </w:p>
    <w:bookmarkEnd w:id="0"/>
    <w:p w:rsidR="006D260A" w:rsidRDefault="006D260A" w:rsidP="00486191">
      <w:pPr>
        <w:jc w:val="both"/>
        <w:rPr>
          <w:b/>
          <w:sz w:val="24"/>
          <w:szCs w:val="24"/>
          <w:u w:val="double"/>
        </w:rPr>
      </w:pPr>
    </w:p>
    <w:p w:rsidR="00815A19" w:rsidRDefault="000A2BF1" w:rsidP="00486191">
      <w:pPr>
        <w:jc w:val="both"/>
      </w:pPr>
      <w:r>
        <w:t xml:space="preserve">Con base en el artículo 96 fracción VII de la Ley Orgánica del Municipio aplicable al Estado de Zacatecas, en el cual establece que el manejo de recursos es de exclusiva responsabilidad de la persona que ocupe el cargo de Tesorero Municipal, se les dan a conocer los criterios </w:t>
      </w:r>
      <w:r w:rsidR="00C20718">
        <w:t xml:space="preserve">generales </w:t>
      </w:r>
      <w:r>
        <w:t>sobre el M</w:t>
      </w:r>
      <w:r w:rsidR="00815A19">
        <w:t>anejo Contable</w:t>
      </w:r>
      <w:r>
        <w:t xml:space="preserve"> de las operaciones de los DIF Municipales:</w:t>
      </w:r>
    </w:p>
    <w:p w:rsidR="00C20718" w:rsidRDefault="00C20718" w:rsidP="00486191">
      <w:pPr>
        <w:jc w:val="both"/>
        <w:rPr>
          <w:b/>
          <w:u w:val="double"/>
        </w:rPr>
      </w:pPr>
    </w:p>
    <w:p w:rsidR="00CF1C85" w:rsidRDefault="00CF1C85" w:rsidP="00486191">
      <w:pPr>
        <w:jc w:val="both"/>
        <w:rPr>
          <w:b/>
          <w:u w:val="double"/>
        </w:rPr>
      </w:pPr>
      <w:r>
        <w:rPr>
          <w:b/>
          <w:u w:val="double"/>
        </w:rPr>
        <w:t>GENERALIDADES</w:t>
      </w:r>
    </w:p>
    <w:p w:rsidR="00C20718" w:rsidRDefault="00CF1C85" w:rsidP="00CF1C85">
      <w:pPr>
        <w:pStyle w:val="Prrafodelista"/>
        <w:numPr>
          <w:ilvl w:val="0"/>
          <w:numId w:val="5"/>
        </w:numPr>
        <w:jc w:val="both"/>
      </w:pPr>
      <w:r>
        <w:t xml:space="preserve">Se debe </w:t>
      </w:r>
      <w:proofErr w:type="spellStart"/>
      <w:r>
        <w:t>aperturar</w:t>
      </w:r>
      <w:proofErr w:type="spellEnd"/>
      <w:r>
        <w:t xml:space="preserve"> una cuenta bancaria a nombre del Municipio y será específica para el control y manejo tanto de los ingresos como los egresos del DIF Municipal. Dicha cuenta bancaria deberá estar bajo el esquema de firmas mancomunadas y en ningún caso deberá faltar la firma del Director (a) del DIF Municipal.</w:t>
      </w:r>
    </w:p>
    <w:p w:rsidR="00C20718" w:rsidRDefault="00C20718" w:rsidP="00C20718">
      <w:pPr>
        <w:pStyle w:val="Prrafodelista"/>
        <w:jc w:val="both"/>
      </w:pPr>
    </w:p>
    <w:p w:rsidR="00C20718" w:rsidRDefault="00C20718" w:rsidP="00CF1C85">
      <w:pPr>
        <w:pStyle w:val="Prrafodelista"/>
        <w:numPr>
          <w:ilvl w:val="0"/>
          <w:numId w:val="5"/>
        </w:numPr>
        <w:jc w:val="both"/>
      </w:pPr>
      <w:r>
        <w:t>Todos los gastos que efectúe el DIF Municipal, deberán ser comprobados con comprobantes fiscales (CFDI y archivo XLM).</w:t>
      </w:r>
    </w:p>
    <w:p w:rsidR="00C20718" w:rsidRDefault="00C20718" w:rsidP="00C20718">
      <w:pPr>
        <w:pStyle w:val="Prrafodelista"/>
      </w:pPr>
    </w:p>
    <w:p w:rsidR="00C20718" w:rsidRDefault="00C20718" w:rsidP="00CF1C85">
      <w:pPr>
        <w:pStyle w:val="Prrafodelista"/>
        <w:numPr>
          <w:ilvl w:val="0"/>
          <w:numId w:val="5"/>
        </w:numPr>
        <w:jc w:val="both"/>
      </w:pPr>
      <w:r>
        <w:t>Deben entregarse reportes semanales sobre los ingresos y egresos correspondientes, acompañados de la documentación comprobatoria a la Tesorería Municipal a efecto de que ésta realice el registro contable y presupuestal de las operaciones. Para tal efecto la Tesorería Municipal definirá el procedimiento a seguir.</w:t>
      </w:r>
    </w:p>
    <w:p w:rsidR="00CF1C85" w:rsidRDefault="00CF1C85" w:rsidP="00486191">
      <w:pPr>
        <w:jc w:val="both"/>
        <w:rPr>
          <w:b/>
          <w:u w:val="double"/>
        </w:rPr>
      </w:pPr>
    </w:p>
    <w:p w:rsidR="00815A19" w:rsidRPr="00013D92" w:rsidRDefault="00815A19" w:rsidP="00486191">
      <w:pPr>
        <w:jc w:val="both"/>
        <w:rPr>
          <w:b/>
          <w:u w:val="double"/>
        </w:rPr>
      </w:pPr>
      <w:r w:rsidRPr="00013D92">
        <w:rPr>
          <w:b/>
          <w:u w:val="double"/>
        </w:rPr>
        <w:t>INGRESOS</w:t>
      </w:r>
    </w:p>
    <w:p w:rsidR="00815A19" w:rsidRDefault="00815A19" w:rsidP="00CF1C85">
      <w:pPr>
        <w:pStyle w:val="Prrafodelista"/>
        <w:numPr>
          <w:ilvl w:val="0"/>
          <w:numId w:val="3"/>
        </w:numPr>
        <w:jc w:val="both"/>
      </w:pPr>
      <w:r>
        <w:t>Todos los ingresos por concepto de cuotas de recuperación de</w:t>
      </w:r>
      <w:r w:rsidR="00E15FD8">
        <w:t>berán reportarse a la Tesorería</w:t>
      </w:r>
      <w:r w:rsidR="00CF1C85">
        <w:t>, por lo menos de manera semanal</w:t>
      </w:r>
      <w:r w:rsidR="00E15FD8">
        <w:t>.</w:t>
      </w:r>
    </w:p>
    <w:p w:rsidR="00CF1C85" w:rsidRDefault="00CF1C85" w:rsidP="00CF1C85">
      <w:pPr>
        <w:pStyle w:val="Prrafodelista"/>
        <w:jc w:val="both"/>
      </w:pPr>
    </w:p>
    <w:p w:rsidR="00E15FD8" w:rsidRDefault="00E15FD8" w:rsidP="00CF1C85">
      <w:pPr>
        <w:pStyle w:val="Prrafodelista"/>
        <w:numPr>
          <w:ilvl w:val="0"/>
          <w:numId w:val="3"/>
        </w:numPr>
        <w:jc w:val="both"/>
      </w:pPr>
      <w:r>
        <w:t>Las cuentas de registro aplicables a las operaciones del DIF Municipal serán:</w:t>
      </w:r>
    </w:p>
    <w:p w:rsidR="00E15FD8" w:rsidRPr="0046700C" w:rsidRDefault="00E15FD8" w:rsidP="00486191">
      <w:pPr>
        <w:jc w:val="both"/>
        <w:rPr>
          <w:b/>
          <w:u w:val="single"/>
        </w:rPr>
      </w:pPr>
      <w:r w:rsidRPr="0046700C">
        <w:rPr>
          <w:b/>
          <w:u w:val="single"/>
        </w:rPr>
        <w:t>4150 PRODUCTOS DE TIPO CORRIENTE</w:t>
      </w:r>
    </w:p>
    <w:tbl>
      <w:tblPr>
        <w:tblW w:w="10220" w:type="dxa"/>
        <w:tblInd w:w="55" w:type="dxa"/>
        <w:shd w:val="clear" w:color="000000" w:fill="auto"/>
        <w:tblCellMar>
          <w:left w:w="70" w:type="dxa"/>
          <w:right w:w="70" w:type="dxa"/>
        </w:tblCellMar>
        <w:tblLook w:val="04A0" w:firstRow="1" w:lastRow="0" w:firstColumn="1" w:lastColumn="0" w:noHBand="0" w:noVBand="1"/>
      </w:tblPr>
      <w:tblGrid>
        <w:gridCol w:w="1660"/>
        <w:gridCol w:w="8560"/>
      </w:tblGrid>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4151-03</w:t>
            </w:r>
          </w:p>
        </w:tc>
        <w:tc>
          <w:tcPr>
            <w:tcW w:w="8560" w:type="dxa"/>
            <w:shd w:val="clear" w:color="000000" w:fill="auto"/>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ARRENDAMIENTO O EXPLOTACIÓN BIENES DEL MPIO</w:t>
            </w:r>
          </w:p>
        </w:tc>
      </w:tr>
    </w:tbl>
    <w:p w:rsidR="00E15FD8" w:rsidRDefault="0046700C" w:rsidP="00486191">
      <w:pPr>
        <w:jc w:val="both"/>
      </w:pPr>
      <w:r>
        <w:t xml:space="preserve">* </w:t>
      </w:r>
      <w:r w:rsidR="00E15FD8">
        <w:t>En el caso de que el DIF tenga dicha actividad.</w:t>
      </w:r>
    </w:p>
    <w:p w:rsidR="00E15FD8" w:rsidRPr="0046700C" w:rsidRDefault="00E15FD8" w:rsidP="00486191">
      <w:pPr>
        <w:jc w:val="both"/>
        <w:rPr>
          <w:b/>
          <w:u w:val="single"/>
        </w:rPr>
      </w:pPr>
      <w:r w:rsidRPr="0046700C">
        <w:rPr>
          <w:b/>
          <w:u w:val="single"/>
        </w:rPr>
        <w:t>4170 INGRESOS POR VENTA DE BIENES Y SERVICIOS</w:t>
      </w:r>
    </w:p>
    <w:tbl>
      <w:tblPr>
        <w:tblW w:w="10220" w:type="dxa"/>
        <w:tblInd w:w="55" w:type="dxa"/>
        <w:shd w:val="clear" w:color="000000" w:fill="auto"/>
        <w:tblCellMar>
          <w:left w:w="70" w:type="dxa"/>
          <w:right w:w="70" w:type="dxa"/>
        </w:tblCellMar>
        <w:tblLook w:val="04A0" w:firstRow="1" w:lastRow="0" w:firstColumn="1" w:lastColumn="0" w:noHBand="0" w:noVBand="1"/>
      </w:tblPr>
      <w:tblGrid>
        <w:gridCol w:w="1660"/>
        <w:gridCol w:w="8560"/>
      </w:tblGrid>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4172</w:t>
            </w:r>
          </w:p>
        </w:tc>
        <w:tc>
          <w:tcPr>
            <w:tcW w:w="8560" w:type="dxa"/>
            <w:shd w:val="clear" w:color="000000" w:fill="auto"/>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INGRESOS POR VENTA DE BIENES Y SERVICIOS PRODUCIDOS EN ESTABLECIMIENTOS DEL GOBIERNO</w:t>
            </w:r>
          </w:p>
        </w:tc>
      </w:tr>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 xml:space="preserve">4172-01 </w:t>
            </w:r>
          </w:p>
        </w:tc>
        <w:tc>
          <w:tcPr>
            <w:tcW w:w="8560" w:type="dxa"/>
            <w:shd w:val="clear" w:color="000000" w:fill="auto"/>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DIF MUNICIPAL</w:t>
            </w:r>
          </w:p>
        </w:tc>
      </w:tr>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4172-01-01</w:t>
            </w:r>
          </w:p>
        </w:tc>
        <w:tc>
          <w:tcPr>
            <w:tcW w:w="8560" w:type="dxa"/>
            <w:shd w:val="clear" w:color="000000" w:fill="auto"/>
            <w:vAlign w:val="center"/>
            <w:hideMark/>
          </w:tcPr>
          <w:p w:rsidR="0046700C" w:rsidRPr="0046700C" w:rsidRDefault="0046700C" w:rsidP="00CF1C85">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CUOTAS DE RECUPERACIÓN - SERVICIOS/CURSOS</w:t>
            </w:r>
            <w:r w:rsidR="00CD2687">
              <w:rPr>
                <w:rFonts w:ascii="Calibri" w:eastAsia="Times New Roman" w:hAnsi="Calibri" w:cs="Calibri"/>
                <w:sz w:val="20"/>
                <w:szCs w:val="20"/>
                <w:lang w:eastAsia="es-MX"/>
              </w:rPr>
              <w:t xml:space="preserve"> </w:t>
            </w:r>
          </w:p>
        </w:tc>
      </w:tr>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4172-01-01-01</w:t>
            </w:r>
          </w:p>
        </w:tc>
        <w:tc>
          <w:tcPr>
            <w:tcW w:w="8560" w:type="dxa"/>
            <w:shd w:val="clear" w:color="000000" w:fill="auto"/>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CURSO BALLET</w:t>
            </w:r>
          </w:p>
        </w:tc>
      </w:tr>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4172-01-01-02</w:t>
            </w:r>
          </w:p>
        </w:tc>
        <w:tc>
          <w:tcPr>
            <w:tcW w:w="8560" w:type="dxa"/>
            <w:shd w:val="clear" w:color="000000" w:fill="auto"/>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CURSO COCINA</w:t>
            </w:r>
          </w:p>
        </w:tc>
      </w:tr>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lastRenderedPageBreak/>
              <w:t>4172-01-02</w:t>
            </w:r>
          </w:p>
        </w:tc>
        <w:tc>
          <w:tcPr>
            <w:tcW w:w="8560" w:type="dxa"/>
            <w:shd w:val="clear" w:color="000000" w:fill="auto"/>
            <w:vAlign w:val="center"/>
            <w:hideMark/>
          </w:tcPr>
          <w:p w:rsidR="00CD2687" w:rsidRPr="0046700C" w:rsidRDefault="0046700C" w:rsidP="00CF1C85">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 xml:space="preserve">CUOTAS DE RECUPERACIÓN </w:t>
            </w:r>
            <w:r w:rsidR="00CD2687">
              <w:rPr>
                <w:rFonts w:ascii="Calibri" w:eastAsia="Times New Roman" w:hAnsi="Calibri" w:cs="Calibri"/>
                <w:sz w:val="20"/>
                <w:szCs w:val="20"/>
                <w:lang w:eastAsia="es-MX"/>
              </w:rPr>
              <w:t>–</w:t>
            </w:r>
            <w:r w:rsidRPr="0046700C">
              <w:rPr>
                <w:rFonts w:ascii="Calibri" w:eastAsia="Times New Roman" w:hAnsi="Calibri" w:cs="Calibri"/>
                <w:sz w:val="20"/>
                <w:szCs w:val="20"/>
                <w:lang w:eastAsia="es-MX"/>
              </w:rPr>
              <w:t xml:space="preserve"> PROGRAMAS</w:t>
            </w:r>
            <w:r w:rsidR="00CD2687">
              <w:rPr>
                <w:rFonts w:ascii="Calibri" w:eastAsia="Times New Roman" w:hAnsi="Calibri" w:cs="Calibri"/>
                <w:sz w:val="20"/>
                <w:szCs w:val="20"/>
                <w:lang w:eastAsia="es-MX"/>
              </w:rPr>
              <w:t xml:space="preserve">   </w:t>
            </w:r>
          </w:p>
        </w:tc>
      </w:tr>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4172-01-02-01</w:t>
            </w:r>
          </w:p>
        </w:tc>
        <w:tc>
          <w:tcPr>
            <w:tcW w:w="8560" w:type="dxa"/>
            <w:shd w:val="clear" w:color="000000" w:fill="auto"/>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DESPENSAS</w:t>
            </w:r>
          </w:p>
        </w:tc>
      </w:tr>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4172-01-02-02</w:t>
            </w:r>
          </w:p>
        </w:tc>
        <w:tc>
          <w:tcPr>
            <w:tcW w:w="8560" w:type="dxa"/>
            <w:shd w:val="clear" w:color="000000" w:fill="auto"/>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CANASTAS</w:t>
            </w:r>
          </w:p>
        </w:tc>
      </w:tr>
      <w:tr w:rsidR="0046700C" w:rsidRPr="0046700C" w:rsidTr="00CF1C85">
        <w:trPr>
          <w:trHeight w:val="270"/>
        </w:trPr>
        <w:tc>
          <w:tcPr>
            <w:tcW w:w="1660" w:type="dxa"/>
            <w:shd w:val="clear" w:color="000000" w:fill="auto"/>
            <w:noWrap/>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4172-01-02-03</w:t>
            </w:r>
          </w:p>
        </w:tc>
        <w:tc>
          <w:tcPr>
            <w:tcW w:w="8560" w:type="dxa"/>
            <w:shd w:val="clear" w:color="000000" w:fill="auto"/>
            <w:vAlign w:val="center"/>
            <w:hideMark/>
          </w:tcPr>
          <w:p w:rsidR="0046700C" w:rsidRPr="0046700C" w:rsidRDefault="0046700C" w:rsidP="00486191">
            <w:pPr>
              <w:spacing w:after="0" w:line="240" w:lineRule="auto"/>
              <w:jc w:val="both"/>
              <w:rPr>
                <w:rFonts w:ascii="Calibri" w:eastAsia="Times New Roman" w:hAnsi="Calibri" w:cs="Calibri"/>
                <w:sz w:val="20"/>
                <w:szCs w:val="20"/>
                <w:lang w:eastAsia="es-MX"/>
              </w:rPr>
            </w:pPr>
            <w:r w:rsidRPr="0046700C">
              <w:rPr>
                <w:rFonts w:ascii="Calibri" w:eastAsia="Times New Roman" w:hAnsi="Calibri" w:cs="Calibri"/>
                <w:sz w:val="20"/>
                <w:szCs w:val="20"/>
                <w:lang w:eastAsia="es-MX"/>
              </w:rPr>
              <w:t>DESAYUNOS</w:t>
            </w:r>
          </w:p>
        </w:tc>
      </w:tr>
    </w:tbl>
    <w:p w:rsidR="00CD2687" w:rsidRDefault="00C20718" w:rsidP="00C20718">
      <w:pPr>
        <w:jc w:val="both"/>
      </w:pPr>
      <w:r>
        <w:t xml:space="preserve">* Estas cuentas deberán ser </w:t>
      </w:r>
      <w:proofErr w:type="spellStart"/>
      <w:r>
        <w:t>aperturadas</w:t>
      </w:r>
      <w:proofErr w:type="spellEnd"/>
      <w:r>
        <w:t xml:space="preserve"> en su plan de cuentas (en la capacitación del manejo del SAACG.net se verá dicho procedimiento.</w:t>
      </w:r>
    </w:p>
    <w:p w:rsidR="00C20718" w:rsidRDefault="00C20718" w:rsidP="00486191">
      <w:pPr>
        <w:jc w:val="both"/>
        <w:rPr>
          <w:b/>
          <w:u w:val="double"/>
        </w:rPr>
      </w:pPr>
    </w:p>
    <w:p w:rsidR="00013D92" w:rsidRPr="00013D92" w:rsidRDefault="00013D92" w:rsidP="00486191">
      <w:pPr>
        <w:jc w:val="both"/>
        <w:rPr>
          <w:b/>
          <w:u w:val="double"/>
        </w:rPr>
      </w:pPr>
      <w:r>
        <w:rPr>
          <w:b/>
          <w:u w:val="double"/>
        </w:rPr>
        <w:t>EGRESOS</w:t>
      </w:r>
    </w:p>
    <w:p w:rsidR="000A2BF1" w:rsidRDefault="000A2BF1" w:rsidP="00CF1C85">
      <w:pPr>
        <w:pStyle w:val="Prrafodelista"/>
        <w:numPr>
          <w:ilvl w:val="0"/>
          <w:numId w:val="2"/>
        </w:numPr>
        <w:jc w:val="both"/>
      </w:pPr>
      <w:r w:rsidRPr="00C20718">
        <w:t>Las erogaciones deberán hacerse por conducto de la Tesorería Municipal, a través de</w:t>
      </w:r>
      <w:r>
        <w:t xml:space="preserve"> requerimientos y órdenes de pago</w:t>
      </w:r>
      <w:r w:rsidR="00A466B3">
        <w:t xml:space="preserve">, por lo que </w:t>
      </w:r>
      <w:r w:rsidR="00CC63D0">
        <w:t>el subsidio no es aplicable a partir del ejercicio 2014.</w:t>
      </w:r>
    </w:p>
    <w:p w:rsidR="00B9037E" w:rsidRDefault="00B9037E" w:rsidP="00B9037E">
      <w:pPr>
        <w:pStyle w:val="Prrafodelista"/>
        <w:jc w:val="both"/>
      </w:pPr>
    </w:p>
    <w:p w:rsidR="00486191" w:rsidRDefault="00B9037E" w:rsidP="00CF1C85">
      <w:pPr>
        <w:pStyle w:val="Prrafodelista"/>
        <w:numPr>
          <w:ilvl w:val="0"/>
          <w:numId w:val="2"/>
        </w:numPr>
        <w:jc w:val="both"/>
      </w:pPr>
      <w:r>
        <w:t>En el caso específico de</w:t>
      </w:r>
      <w:r w:rsidR="000A2BF1">
        <w:t xml:space="preserve"> las erogaciones correspondientes a cu</w:t>
      </w:r>
      <w:r w:rsidR="00486191">
        <w:t xml:space="preserve">brir </w:t>
      </w:r>
      <w:r w:rsidR="00CC63D0">
        <w:t>por</w:t>
      </w:r>
      <w:r w:rsidR="00486191">
        <w:t xml:space="preserve"> costo de los Pr</w:t>
      </w:r>
      <w:r w:rsidR="00CC63D0">
        <w:t xml:space="preserve">ogramas de Despensas, </w:t>
      </w:r>
      <w:r w:rsidR="00486191">
        <w:t>Desayunos</w:t>
      </w:r>
      <w:r w:rsidR="00CF1C85">
        <w:t>, Canasta</w:t>
      </w:r>
      <w:r w:rsidR="00CC63D0">
        <w:t xml:space="preserve"> al DIF Estatal</w:t>
      </w:r>
      <w:r w:rsidR="00CF1C85">
        <w:t>, deberá registrarse en la cuenta del gasto</w:t>
      </w:r>
      <w:r w:rsidR="00486191">
        <w:t xml:space="preserve">: </w:t>
      </w:r>
    </w:p>
    <w:p w:rsidR="0003534C" w:rsidRDefault="0003534C" w:rsidP="0003534C">
      <w:pPr>
        <w:jc w:val="both"/>
        <w:rPr>
          <w:rFonts w:ascii="Calibri" w:eastAsia="Times New Roman" w:hAnsi="Calibri" w:cs="Times New Roman"/>
        </w:rPr>
      </w:pPr>
      <w:r w:rsidRPr="00011CED">
        <w:rPr>
          <w:rFonts w:ascii="Calibri" w:eastAsia="Times New Roman" w:hAnsi="Calibri" w:cs="Times New Roman"/>
        </w:rPr>
        <w:t>2211</w:t>
      </w:r>
      <w:r w:rsidR="00CF1C85">
        <w:rPr>
          <w:rFonts w:ascii="Calibri" w:eastAsia="Times New Roman" w:hAnsi="Calibri" w:cs="Times New Roman"/>
        </w:rPr>
        <w:t xml:space="preserve">-1 </w:t>
      </w:r>
      <w:r w:rsidRPr="00011CED">
        <w:rPr>
          <w:rFonts w:ascii="Calibri" w:eastAsia="Times New Roman" w:hAnsi="Calibri" w:cs="Times New Roman"/>
        </w:rPr>
        <w:t xml:space="preserve"> PRODUCTOS ALIMENTICIOS PARA PERSONAS DERIVADO DE LA PRESTACIÓN DE SERVICIOS PÚBLICOS EN UNIDADES DE SALUD, SEGURIDAD Y READAPTACIÓN SOCIAL, EDUCATIVOS, CULTURALES Y RECREATIVOS:</w:t>
      </w:r>
      <w:r w:rsidRPr="00011CED">
        <w:rPr>
          <w:rFonts w:ascii="Calibri" w:hAnsi="Calibri"/>
        </w:rPr>
        <w:t xml:space="preserve"> </w:t>
      </w:r>
      <w:r w:rsidRPr="00011CED">
        <w:rPr>
          <w:rFonts w:ascii="Calibri" w:eastAsia="Times New Roman" w:hAnsi="Calibri" w:cs="Times New Roman"/>
        </w:rPr>
        <w:t>Asignaciones destinadas a la adquisición de todo tipo de productos alimenticios y bebidas (no alcohólicas de ningún tipo ni grado),para la alimentación de personas, derivado de la ejecución de los programas institucionales de salud, seguridad social, educativos, culturales y recreativos, así como para cautivos y reos en proceso de readaptación social . Incluye la adquisición de alimentos y complementos nutricionales para su distribución a la población, así como la alimentación para repatriados.</w:t>
      </w:r>
    </w:p>
    <w:p w:rsidR="00B9037E" w:rsidRDefault="00B9037E" w:rsidP="0003534C">
      <w:pPr>
        <w:jc w:val="both"/>
        <w:rPr>
          <w:rFonts w:ascii="Calibri" w:eastAsia="Times New Roman" w:hAnsi="Calibri" w:cs="Times New Roman"/>
        </w:rPr>
      </w:pPr>
    </w:p>
    <w:p w:rsidR="00B9037E" w:rsidRPr="00B9037E" w:rsidRDefault="00B9037E" w:rsidP="00B9037E">
      <w:pPr>
        <w:pStyle w:val="Prrafodelista"/>
        <w:numPr>
          <w:ilvl w:val="0"/>
          <w:numId w:val="2"/>
        </w:numPr>
        <w:jc w:val="both"/>
        <w:rPr>
          <w:rFonts w:ascii="Calibri" w:eastAsia="Times New Roman" w:hAnsi="Calibri" w:cs="Times New Roman"/>
        </w:rPr>
      </w:pPr>
      <w:r>
        <w:rPr>
          <w:rFonts w:ascii="Calibri" w:eastAsia="Times New Roman" w:hAnsi="Calibri" w:cs="Times New Roman"/>
        </w:rPr>
        <w:t>Para el resto de las erogaciones que se realicen deberán clasificarse en las cuentas Objeto de Gasto según corresponda.</w:t>
      </w:r>
    </w:p>
    <w:p w:rsidR="00C20718" w:rsidRDefault="00C20718" w:rsidP="00C20718">
      <w:pPr>
        <w:jc w:val="both"/>
        <w:rPr>
          <w:b/>
          <w:u w:val="double"/>
        </w:rPr>
      </w:pPr>
    </w:p>
    <w:p w:rsidR="00B9037E" w:rsidRPr="00013D92" w:rsidRDefault="00B9037E" w:rsidP="00B9037E">
      <w:pPr>
        <w:jc w:val="both"/>
        <w:rPr>
          <w:b/>
          <w:u w:val="double"/>
        </w:rPr>
      </w:pPr>
      <w:r>
        <w:rPr>
          <w:b/>
          <w:u w:val="double"/>
        </w:rPr>
        <w:t>UNIDAD ADMINISTRATIVA</w:t>
      </w:r>
    </w:p>
    <w:p w:rsidR="00B9037E" w:rsidRDefault="00B9037E" w:rsidP="00C20718">
      <w:pPr>
        <w:jc w:val="both"/>
        <w:rPr>
          <w:b/>
          <w:u w:val="double"/>
        </w:rPr>
      </w:pPr>
    </w:p>
    <w:tbl>
      <w:tblPr>
        <w:tblW w:w="5080" w:type="dxa"/>
        <w:tblInd w:w="55" w:type="dxa"/>
        <w:tblCellMar>
          <w:left w:w="70" w:type="dxa"/>
          <w:right w:w="70" w:type="dxa"/>
        </w:tblCellMar>
        <w:tblLook w:val="04A0" w:firstRow="1" w:lastRow="0" w:firstColumn="1" w:lastColumn="0" w:noHBand="0" w:noVBand="1"/>
      </w:tblPr>
      <w:tblGrid>
        <w:gridCol w:w="710"/>
        <w:gridCol w:w="4380"/>
      </w:tblGrid>
      <w:tr w:rsidR="00B9037E" w:rsidRPr="00B9037E" w:rsidTr="00B9037E">
        <w:trPr>
          <w:trHeight w:val="300"/>
        </w:trPr>
        <w:tc>
          <w:tcPr>
            <w:tcW w:w="70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CLAVE</w:t>
            </w:r>
          </w:p>
        </w:tc>
        <w:tc>
          <w:tcPr>
            <w:tcW w:w="438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NOMBRE</w:t>
            </w:r>
          </w:p>
        </w:tc>
      </w:tr>
      <w:tr w:rsidR="00B9037E" w:rsidRPr="00B9037E" w:rsidTr="00B9037E">
        <w:trPr>
          <w:trHeight w:val="300"/>
        </w:trPr>
        <w:tc>
          <w:tcPr>
            <w:tcW w:w="70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500</w:t>
            </w:r>
          </w:p>
        </w:tc>
        <w:tc>
          <w:tcPr>
            <w:tcW w:w="438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TESORERÍA</w:t>
            </w:r>
          </w:p>
        </w:tc>
      </w:tr>
      <w:tr w:rsidR="00B9037E" w:rsidRPr="00B9037E" w:rsidTr="00B9037E">
        <w:trPr>
          <w:trHeight w:val="300"/>
        </w:trPr>
        <w:tc>
          <w:tcPr>
            <w:tcW w:w="70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700</w:t>
            </w:r>
          </w:p>
        </w:tc>
        <w:tc>
          <w:tcPr>
            <w:tcW w:w="438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DESARROLLO ECONÓMICO Y SOCIAL</w:t>
            </w:r>
          </w:p>
        </w:tc>
      </w:tr>
      <w:tr w:rsidR="00B9037E" w:rsidRPr="00B9037E" w:rsidTr="00B9037E">
        <w:trPr>
          <w:trHeight w:val="300"/>
        </w:trPr>
        <w:tc>
          <w:tcPr>
            <w:tcW w:w="70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800</w:t>
            </w:r>
          </w:p>
        </w:tc>
        <w:tc>
          <w:tcPr>
            <w:tcW w:w="438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OBRAS PÚBLICAS Y SERV. PÚBLICOS</w:t>
            </w:r>
          </w:p>
        </w:tc>
      </w:tr>
      <w:tr w:rsidR="00B9037E" w:rsidRPr="00B9037E" w:rsidTr="00B9037E">
        <w:trPr>
          <w:trHeight w:val="300"/>
        </w:trPr>
        <w:tc>
          <w:tcPr>
            <w:tcW w:w="700" w:type="dxa"/>
            <w:tcBorders>
              <w:top w:val="nil"/>
              <w:left w:val="nil"/>
              <w:bottom w:val="nil"/>
              <w:right w:val="nil"/>
            </w:tcBorders>
            <w:shd w:val="clear" w:color="000000" w:fill="FFFF00"/>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900</w:t>
            </w:r>
          </w:p>
        </w:tc>
        <w:tc>
          <w:tcPr>
            <w:tcW w:w="4380" w:type="dxa"/>
            <w:tcBorders>
              <w:top w:val="nil"/>
              <w:left w:val="nil"/>
              <w:bottom w:val="nil"/>
              <w:right w:val="nil"/>
            </w:tcBorders>
            <w:shd w:val="clear" w:color="000000" w:fill="FFFF00"/>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DIF</w:t>
            </w:r>
          </w:p>
        </w:tc>
      </w:tr>
      <w:tr w:rsidR="00B9037E" w:rsidRPr="00B9037E" w:rsidTr="00B9037E">
        <w:trPr>
          <w:trHeight w:val="300"/>
        </w:trPr>
        <w:tc>
          <w:tcPr>
            <w:tcW w:w="70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A00</w:t>
            </w:r>
          </w:p>
        </w:tc>
        <w:tc>
          <w:tcPr>
            <w:tcW w:w="438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AGUA POTABLE</w:t>
            </w:r>
          </w:p>
        </w:tc>
      </w:tr>
      <w:tr w:rsidR="00B9037E" w:rsidRPr="00B9037E" w:rsidTr="00B9037E">
        <w:trPr>
          <w:trHeight w:val="300"/>
        </w:trPr>
        <w:tc>
          <w:tcPr>
            <w:tcW w:w="70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B00</w:t>
            </w:r>
          </w:p>
        </w:tc>
        <w:tc>
          <w:tcPr>
            <w:tcW w:w="4380" w:type="dxa"/>
            <w:tcBorders>
              <w:top w:val="nil"/>
              <w:left w:val="nil"/>
              <w:bottom w:val="nil"/>
              <w:right w:val="nil"/>
            </w:tcBorders>
            <w:shd w:val="clear" w:color="auto" w:fill="auto"/>
            <w:noWrap/>
            <w:vAlign w:val="bottom"/>
            <w:hideMark/>
          </w:tcPr>
          <w:p w:rsidR="00B9037E" w:rsidRPr="00B9037E" w:rsidRDefault="00B9037E" w:rsidP="00B9037E">
            <w:pPr>
              <w:spacing w:after="0" w:line="240" w:lineRule="auto"/>
              <w:rPr>
                <w:rFonts w:ascii="Calibri" w:eastAsia="Times New Roman" w:hAnsi="Calibri" w:cs="Calibri"/>
                <w:color w:val="002060"/>
                <w:lang w:eastAsia="es-MX"/>
              </w:rPr>
            </w:pPr>
            <w:r w:rsidRPr="00B9037E">
              <w:rPr>
                <w:rFonts w:ascii="Calibri" w:eastAsia="Times New Roman" w:hAnsi="Calibri" w:cs="Calibri"/>
                <w:color w:val="002060"/>
                <w:lang w:eastAsia="es-MX"/>
              </w:rPr>
              <w:t>PATRONATO DE LA FERIA</w:t>
            </w:r>
          </w:p>
        </w:tc>
      </w:tr>
    </w:tbl>
    <w:p w:rsidR="00B9037E" w:rsidRDefault="00B9037E" w:rsidP="00C20718">
      <w:pPr>
        <w:jc w:val="both"/>
        <w:rPr>
          <w:b/>
          <w:u w:val="double"/>
        </w:rPr>
      </w:pPr>
    </w:p>
    <w:p w:rsidR="00B9037E" w:rsidRDefault="00B9037E" w:rsidP="00C20718">
      <w:pPr>
        <w:jc w:val="both"/>
        <w:rPr>
          <w:b/>
          <w:u w:val="double"/>
        </w:rPr>
      </w:pPr>
    </w:p>
    <w:p w:rsidR="00B9037E" w:rsidRDefault="00B9037E" w:rsidP="00C20718">
      <w:pPr>
        <w:jc w:val="both"/>
        <w:rPr>
          <w:b/>
          <w:u w:val="double"/>
        </w:rPr>
      </w:pPr>
    </w:p>
    <w:p w:rsidR="00C20718" w:rsidRPr="00013D92" w:rsidRDefault="00B9037E" w:rsidP="00C20718">
      <w:pPr>
        <w:jc w:val="both"/>
        <w:rPr>
          <w:b/>
          <w:u w:val="double"/>
        </w:rPr>
      </w:pPr>
      <w:r>
        <w:rPr>
          <w:b/>
          <w:u w:val="double"/>
        </w:rPr>
        <w:t>CLASIFICACIÓN PROGRAMÁTICA / FUNCIONAL</w:t>
      </w:r>
    </w:p>
    <w:p w:rsidR="00C20718" w:rsidRDefault="00B9037E" w:rsidP="0003534C">
      <w:pPr>
        <w:jc w:val="both"/>
        <w:rPr>
          <w:rFonts w:ascii="Calibri" w:eastAsia="Times New Roman" w:hAnsi="Calibri" w:cs="Times New Roman"/>
        </w:rPr>
      </w:pPr>
      <w:r>
        <w:rPr>
          <w:rFonts w:ascii="Calibri" w:eastAsia="Times New Roman" w:hAnsi="Calibri" w:cs="Times New Roman"/>
          <w:noProof/>
          <w:lang w:eastAsia="es-MX"/>
        </w:rPr>
        <w:drawing>
          <wp:anchor distT="0" distB="0" distL="114300" distR="114300" simplePos="0" relativeHeight="251659264" behindDoc="0" locked="0" layoutInCell="1" allowOverlap="1" wp14:anchorId="7540B941" wp14:editId="4F0FDFDC">
            <wp:simplePos x="0" y="0"/>
            <wp:positionH relativeFrom="column">
              <wp:posOffset>-325120</wp:posOffset>
            </wp:positionH>
            <wp:positionV relativeFrom="paragraph">
              <wp:posOffset>231140</wp:posOffset>
            </wp:positionV>
            <wp:extent cx="6788785" cy="11385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8785"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5C2" w:rsidRDefault="005645C2" w:rsidP="005645C2">
      <w:pPr>
        <w:pStyle w:val="ecxmsonormal"/>
        <w:shd w:val="clear" w:color="auto" w:fill="FFFFFF"/>
        <w:spacing w:before="0" w:beforeAutospacing="0" w:after="324" w:afterAutospacing="0" w:line="319" w:lineRule="atLeast"/>
        <w:rPr>
          <w:rFonts w:ascii="Calibri" w:hAnsi="Calibri" w:cs="Calibri"/>
          <w:b/>
          <w:bCs/>
          <w:color w:val="666666"/>
          <w:sz w:val="27"/>
          <w:szCs w:val="27"/>
        </w:rPr>
      </w:pPr>
    </w:p>
    <w:p w:rsidR="005645C2" w:rsidRDefault="005645C2" w:rsidP="005645C2">
      <w:pPr>
        <w:pStyle w:val="ecxmsonormal"/>
        <w:shd w:val="clear" w:color="auto" w:fill="FFFFFF"/>
        <w:spacing w:before="0" w:beforeAutospacing="0" w:after="324" w:afterAutospacing="0" w:line="319" w:lineRule="atLeast"/>
        <w:rPr>
          <w:rFonts w:ascii="Calibri" w:hAnsi="Calibri" w:cs="Calibri"/>
          <w:b/>
          <w:bCs/>
          <w:color w:val="666666"/>
          <w:sz w:val="27"/>
          <w:szCs w:val="27"/>
        </w:rPr>
      </w:pPr>
    </w:p>
    <w:p w:rsidR="005645C2" w:rsidRDefault="005645C2" w:rsidP="005645C2">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b/>
          <w:bCs/>
          <w:color w:val="666666"/>
          <w:sz w:val="27"/>
          <w:szCs w:val="27"/>
        </w:rPr>
        <w:t>Atentamente </w:t>
      </w:r>
    </w:p>
    <w:p w:rsidR="005645C2" w:rsidRDefault="005645C2" w:rsidP="005645C2">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color w:val="666666"/>
        </w:rPr>
        <w:t> </w:t>
      </w:r>
      <w:r>
        <w:rPr>
          <w:rFonts w:ascii="Calibri" w:hAnsi="Calibri" w:cs="Calibri"/>
          <w:b/>
          <w:bCs/>
          <w:color w:val="666666"/>
          <w:sz w:val="27"/>
          <w:szCs w:val="27"/>
        </w:rPr>
        <w:t>Dpto. Análisis Financiero y Presupuestal </w:t>
      </w:r>
    </w:p>
    <w:p w:rsidR="005645C2" w:rsidRDefault="005645C2" w:rsidP="005645C2">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b/>
          <w:bCs/>
          <w:color w:val="666666"/>
          <w:sz w:val="27"/>
          <w:szCs w:val="27"/>
        </w:rPr>
        <w:t>Dir. Auditoría Financiera a Municipios</w:t>
      </w:r>
    </w:p>
    <w:p w:rsidR="005645C2" w:rsidRDefault="005645C2" w:rsidP="005645C2">
      <w:pPr>
        <w:pStyle w:val="ecxmsonormal"/>
        <w:shd w:val="clear" w:color="auto" w:fill="FFFFFF"/>
        <w:spacing w:before="0" w:beforeAutospacing="0" w:after="324" w:afterAutospacing="0" w:line="319" w:lineRule="atLeast"/>
        <w:rPr>
          <w:rFonts w:ascii="Calibri" w:hAnsi="Calibri" w:cs="Calibri"/>
          <w:color w:val="444444"/>
          <w:sz w:val="23"/>
          <w:szCs w:val="23"/>
        </w:rPr>
      </w:pPr>
      <w:r>
        <w:rPr>
          <w:rFonts w:ascii="Calibri" w:hAnsi="Calibri" w:cs="Calibri"/>
          <w:b/>
          <w:bCs/>
          <w:color w:val="666666"/>
          <w:sz w:val="27"/>
          <w:szCs w:val="27"/>
        </w:rPr>
        <w:t>Auditoría Superior del Estado</w:t>
      </w:r>
    </w:p>
    <w:p w:rsidR="00CF1C85" w:rsidRDefault="00CF1C85" w:rsidP="0003534C">
      <w:pPr>
        <w:jc w:val="both"/>
        <w:rPr>
          <w:rFonts w:ascii="Calibri" w:eastAsia="Times New Roman" w:hAnsi="Calibri" w:cs="Times New Roman"/>
        </w:rPr>
      </w:pPr>
    </w:p>
    <w:tbl>
      <w:tblPr>
        <w:tblW w:w="0" w:type="auto"/>
        <w:tblCellSpacing w:w="0" w:type="dxa"/>
        <w:tblCellMar>
          <w:left w:w="0" w:type="dxa"/>
          <w:right w:w="0" w:type="dxa"/>
        </w:tblCellMar>
        <w:tblLook w:val="04A0" w:firstRow="1" w:lastRow="0" w:firstColumn="1" w:lastColumn="0" w:noHBand="0" w:noVBand="1"/>
      </w:tblPr>
      <w:tblGrid>
        <w:gridCol w:w="725"/>
        <w:gridCol w:w="2486"/>
      </w:tblGrid>
      <w:tr w:rsidR="005645C2" w:rsidRPr="005645C2" w:rsidTr="005645C2">
        <w:trPr>
          <w:tblCellSpacing w:w="0" w:type="dxa"/>
        </w:trPr>
        <w:tc>
          <w:tcPr>
            <w:tcW w:w="0" w:type="auto"/>
            <w:noWrap/>
            <w:tcMar>
              <w:top w:w="0" w:type="dxa"/>
              <w:left w:w="0" w:type="dxa"/>
              <w:bottom w:w="30" w:type="dxa"/>
              <w:right w:w="60" w:type="dxa"/>
            </w:tcMar>
            <w:hideMark/>
          </w:tcPr>
          <w:p w:rsidR="005645C2" w:rsidRPr="005645C2" w:rsidRDefault="005645C2" w:rsidP="005645C2">
            <w:pPr>
              <w:spacing w:after="0" w:line="258" w:lineRule="atLeast"/>
              <w:rPr>
                <w:rFonts w:ascii="Segoe UI" w:eastAsia="Times New Roman" w:hAnsi="Segoe UI" w:cs="Segoe UI"/>
                <w:color w:val="666666"/>
                <w:sz w:val="18"/>
                <w:szCs w:val="18"/>
                <w:lang w:eastAsia="es-MX"/>
              </w:rPr>
            </w:pPr>
            <w:r w:rsidRPr="005645C2">
              <w:rPr>
                <w:rFonts w:ascii="Segoe UI" w:eastAsia="Times New Roman" w:hAnsi="Segoe UI" w:cs="Segoe UI"/>
                <w:color w:val="666666"/>
                <w:sz w:val="18"/>
                <w:szCs w:val="18"/>
                <w:lang w:eastAsia="es-MX"/>
              </w:rPr>
              <w:t>Enviado:</w:t>
            </w:r>
          </w:p>
        </w:tc>
        <w:tc>
          <w:tcPr>
            <w:tcW w:w="0" w:type="auto"/>
            <w:tcMar>
              <w:top w:w="0" w:type="dxa"/>
              <w:left w:w="0" w:type="dxa"/>
              <w:bottom w:w="30" w:type="dxa"/>
              <w:right w:w="60" w:type="dxa"/>
            </w:tcMar>
            <w:hideMark/>
          </w:tcPr>
          <w:p w:rsidR="005645C2" w:rsidRPr="005645C2" w:rsidRDefault="005645C2" w:rsidP="005645C2">
            <w:pPr>
              <w:spacing w:after="0" w:line="258" w:lineRule="atLeast"/>
              <w:rPr>
                <w:rFonts w:ascii="Segoe UI" w:eastAsia="Times New Roman" w:hAnsi="Segoe UI" w:cs="Segoe UI"/>
                <w:color w:val="000000"/>
                <w:sz w:val="18"/>
                <w:szCs w:val="18"/>
                <w:lang w:eastAsia="es-MX"/>
              </w:rPr>
            </w:pPr>
            <w:r w:rsidRPr="005645C2">
              <w:rPr>
                <w:rFonts w:ascii="Segoe UI" w:eastAsia="Times New Roman" w:hAnsi="Segoe UI" w:cs="Segoe UI"/>
                <w:color w:val="000000"/>
                <w:sz w:val="18"/>
                <w:szCs w:val="18"/>
                <w:lang w:eastAsia="es-MX"/>
              </w:rPr>
              <w:t>sábado, 08 de febrero de 2014</w:t>
            </w:r>
          </w:p>
        </w:tc>
      </w:tr>
    </w:tbl>
    <w:p w:rsidR="00CF1C85" w:rsidRPr="00011CED" w:rsidRDefault="00CF1C85" w:rsidP="0003534C">
      <w:pPr>
        <w:jc w:val="both"/>
        <w:rPr>
          <w:rFonts w:ascii="Calibri" w:eastAsia="Times New Roman" w:hAnsi="Calibri" w:cs="Times New Roman"/>
        </w:rPr>
      </w:pPr>
    </w:p>
    <w:p w:rsidR="000A2BF1" w:rsidRPr="00011CED" w:rsidRDefault="000A2BF1" w:rsidP="00486191">
      <w:pPr>
        <w:jc w:val="both"/>
      </w:pPr>
    </w:p>
    <w:p w:rsidR="000A2BF1" w:rsidRDefault="000A2BF1" w:rsidP="00486191">
      <w:pPr>
        <w:jc w:val="both"/>
      </w:pPr>
    </w:p>
    <w:p w:rsidR="000A2BF1" w:rsidRDefault="000A2BF1" w:rsidP="00486191">
      <w:pPr>
        <w:jc w:val="both"/>
      </w:pPr>
    </w:p>
    <w:p w:rsidR="000A2BF1" w:rsidRDefault="000A2BF1" w:rsidP="00486191">
      <w:pPr>
        <w:jc w:val="both"/>
      </w:pPr>
    </w:p>
    <w:p w:rsidR="000A2BF1" w:rsidRDefault="000A2BF1" w:rsidP="00486191">
      <w:pPr>
        <w:jc w:val="both"/>
      </w:pPr>
    </w:p>
    <w:p w:rsidR="000A2BF1" w:rsidRDefault="000A2BF1" w:rsidP="00486191">
      <w:pPr>
        <w:jc w:val="both"/>
      </w:pPr>
    </w:p>
    <w:sectPr w:rsidR="000A2BF1" w:rsidSect="00CF1C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5B4"/>
    <w:multiLevelType w:val="hybridMultilevel"/>
    <w:tmpl w:val="A99E8A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1D12B9"/>
    <w:multiLevelType w:val="hybridMultilevel"/>
    <w:tmpl w:val="4E86C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ABA0B82"/>
    <w:multiLevelType w:val="hybridMultilevel"/>
    <w:tmpl w:val="E8DCE3B4"/>
    <w:lvl w:ilvl="0" w:tplc="78421550">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4A1990"/>
    <w:multiLevelType w:val="hybridMultilevel"/>
    <w:tmpl w:val="89AC1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FB497A"/>
    <w:multiLevelType w:val="hybridMultilevel"/>
    <w:tmpl w:val="91AC0C74"/>
    <w:lvl w:ilvl="0" w:tplc="9E1C49A4">
      <w:start w:val="415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19"/>
    <w:rsid w:val="00011CED"/>
    <w:rsid w:val="00013D92"/>
    <w:rsid w:val="00032741"/>
    <w:rsid w:val="0003534C"/>
    <w:rsid w:val="000A2BF1"/>
    <w:rsid w:val="000B7BFE"/>
    <w:rsid w:val="0046700C"/>
    <w:rsid w:val="00486191"/>
    <w:rsid w:val="004E0782"/>
    <w:rsid w:val="005645C2"/>
    <w:rsid w:val="006D260A"/>
    <w:rsid w:val="007F105E"/>
    <w:rsid w:val="00815A19"/>
    <w:rsid w:val="00A02BC1"/>
    <w:rsid w:val="00A466B3"/>
    <w:rsid w:val="00B9037E"/>
    <w:rsid w:val="00C20718"/>
    <w:rsid w:val="00CC63D0"/>
    <w:rsid w:val="00CD2687"/>
    <w:rsid w:val="00CF1C85"/>
    <w:rsid w:val="00D72EEC"/>
    <w:rsid w:val="00DE4C1C"/>
    <w:rsid w:val="00E15FD8"/>
    <w:rsid w:val="00E31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5FD8"/>
    <w:pPr>
      <w:ind w:left="720"/>
      <w:contextualSpacing/>
    </w:pPr>
  </w:style>
  <w:style w:type="paragraph" w:styleId="Textodeglobo">
    <w:name w:val="Balloon Text"/>
    <w:basedOn w:val="Normal"/>
    <w:link w:val="TextodegloboCar"/>
    <w:uiPriority w:val="99"/>
    <w:semiHidden/>
    <w:unhideWhenUsed/>
    <w:rsid w:val="00467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00C"/>
    <w:rPr>
      <w:rFonts w:ascii="Tahoma" w:hAnsi="Tahoma" w:cs="Tahoma"/>
      <w:sz w:val="16"/>
      <w:szCs w:val="16"/>
    </w:rPr>
  </w:style>
  <w:style w:type="paragraph" w:customStyle="1" w:styleId="ecxmsonormal">
    <w:name w:val="ecxmsonormal"/>
    <w:basedOn w:val="Normal"/>
    <w:rsid w:val="005645C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5FD8"/>
    <w:pPr>
      <w:ind w:left="720"/>
      <w:contextualSpacing/>
    </w:pPr>
  </w:style>
  <w:style w:type="paragraph" w:styleId="Textodeglobo">
    <w:name w:val="Balloon Text"/>
    <w:basedOn w:val="Normal"/>
    <w:link w:val="TextodegloboCar"/>
    <w:uiPriority w:val="99"/>
    <w:semiHidden/>
    <w:unhideWhenUsed/>
    <w:rsid w:val="00467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00C"/>
    <w:rPr>
      <w:rFonts w:ascii="Tahoma" w:hAnsi="Tahoma" w:cs="Tahoma"/>
      <w:sz w:val="16"/>
      <w:szCs w:val="16"/>
    </w:rPr>
  </w:style>
  <w:style w:type="paragraph" w:customStyle="1" w:styleId="ecxmsonormal">
    <w:name w:val="ecxmsonormal"/>
    <w:basedOn w:val="Normal"/>
    <w:rsid w:val="005645C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3769">
      <w:bodyDiv w:val="1"/>
      <w:marLeft w:val="0"/>
      <w:marRight w:val="0"/>
      <w:marTop w:val="0"/>
      <w:marBottom w:val="0"/>
      <w:divBdr>
        <w:top w:val="none" w:sz="0" w:space="0" w:color="auto"/>
        <w:left w:val="none" w:sz="0" w:space="0" w:color="auto"/>
        <w:bottom w:val="none" w:sz="0" w:space="0" w:color="auto"/>
        <w:right w:val="none" w:sz="0" w:space="0" w:color="auto"/>
      </w:divBdr>
    </w:div>
    <w:div w:id="726416351">
      <w:bodyDiv w:val="1"/>
      <w:marLeft w:val="0"/>
      <w:marRight w:val="0"/>
      <w:marTop w:val="0"/>
      <w:marBottom w:val="0"/>
      <w:divBdr>
        <w:top w:val="none" w:sz="0" w:space="0" w:color="auto"/>
        <w:left w:val="none" w:sz="0" w:space="0" w:color="auto"/>
        <w:bottom w:val="none" w:sz="0" w:space="0" w:color="auto"/>
        <w:right w:val="none" w:sz="0" w:space="0" w:color="auto"/>
      </w:divBdr>
    </w:div>
    <w:div w:id="1241064870">
      <w:bodyDiv w:val="1"/>
      <w:marLeft w:val="0"/>
      <w:marRight w:val="0"/>
      <w:marTop w:val="0"/>
      <w:marBottom w:val="0"/>
      <w:divBdr>
        <w:top w:val="none" w:sz="0" w:space="0" w:color="auto"/>
        <w:left w:val="none" w:sz="0" w:space="0" w:color="auto"/>
        <w:bottom w:val="none" w:sz="0" w:space="0" w:color="auto"/>
        <w:right w:val="none" w:sz="0" w:space="0" w:color="auto"/>
      </w:divBdr>
    </w:div>
    <w:div w:id="1440835148">
      <w:bodyDiv w:val="1"/>
      <w:marLeft w:val="0"/>
      <w:marRight w:val="0"/>
      <w:marTop w:val="0"/>
      <w:marBottom w:val="0"/>
      <w:divBdr>
        <w:top w:val="none" w:sz="0" w:space="0" w:color="auto"/>
        <w:left w:val="none" w:sz="0" w:space="0" w:color="auto"/>
        <w:bottom w:val="none" w:sz="0" w:space="0" w:color="auto"/>
        <w:right w:val="none" w:sz="0" w:space="0" w:color="auto"/>
      </w:divBdr>
    </w:div>
    <w:div w:id="1790464346">
      <w:bodyDiv w:val="1"/>
      <w:marLeft w:val="0"/>
      <w:marRight w:val="0"/>
      <w:marTop w:val="0"/>
      <w:marBottom w:val="0"/>
      <w:divBdr>
        <w:top w:val="none" w:sz="0" w:space="0" w:color="auto"/>
        <w:left w:val="none" w:sz="0" w:space="0" w:color="auto"/>
        <w:bottom w:val="none" w:sz="0" w:space="0" w:color="auto"/>
        <w:right w:val="none" w:sz="0" w:space="0" w:color="auto"/>
      </w:divBdr>
    </w:div>
    <w:div w:id="1983267194">
      <w:bodyDiv w:val="1"/>
      <w:marLeft w:val="0"/>
      <w:marRight w:val="0"/>
      <w:marTop w:val="0"/>
      <w:marBottom w:val="0"/>
      <w:divBdr>
        <w:top w:val="none" w:sz="0" w:space="0" w:color="auto"/>
        <w:left w:val="none" w:sz="0" w:space="0" w:color="auto"/>
        <w:bottom w:val="none" w:sz="0" w:space="0" w:color="auto"/>
        <w:right w:val="none" w:sz="0" w:space="0" w:color="auto"/>
      </w:divBdr>
    </w:div>
    <w:div w:id="19856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2014-02-07T17:26:00Z</cp:lastPrinted>
  <dcterms:created xsi:type="dcterms:W3CDTF">2014-05-21T18:57:00Z</dcterms:created>
  <dcterms:modified xsi:type="dcterms:W3CDTF">2015-05-28T19:43:00Z</dcterms:modified>
</cp:coreProperties>
</file>